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D1" w:rsidRDefault="00F87AD1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AD1" w:rsidRDefault="002F6FFE">
      <w:pPr>
        <w:pStyle w:val="normal"/>
        <w:tabs>
          <w:tab w:val="left" w:pos="265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</w:t>
      </w:r>
    </w:p>
    <w:p w:rsidR="00F87AD1" w:rsidRDefault="002F6FFE">
      <w:pPr>
        <w:pStyle w:val="normal"/>
        <w:tabs>
          <w:tab w:val="left" w:pos="26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«Центр довузовской подготовки</w:t>
      </w:r>
    </w:p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86"/>
        <w:gridCol w:w="2835"/>
        <w:gridCol w:w="3969"/>
      </w:tblGrid>
      <w:tr w:rsidR="00F87AD1">
        <w:trPr>
          <w:cantSplit/>
          <w:tblHeader/>
        </w:trPr>
        <w:tc>
          <w:tcPr>
            <w:tcW w:w="3686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общего собрания  АНО ДО «ЦДП»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_________С.Н. Тюкавин</w:t>
            </w:r>
          </w:p>
          <w:p w:rsidR="00F87AD1" w:rsidRDefault="00F87AD1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AD1" w:rsidRDefault="00F87AD1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______________С.Н. Тюкавин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20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_июня   2021 г.</w:t>
            </w:r>
          </w:p>
        </w:tc>
      </w:tr>
    </w:tbl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F9" w:rsidRDefault="002937F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F9" w:rsidRDefault="002937F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F9" w:rsidRDefault="002937F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Программа развития</w:t>
      </w:r>
    </w:p>
    <w:p w:rsidR="00F87AD1" w:rsidRDefault="002F6FFE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«Кот ученый»</w:t>
      </w:r>
    </w:p>
    <w:p w:rsidR="00F87AD1" w:rsidRDefault="002F6FFE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2021-2025 год</w:t>
      </w: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37F9" w:rsidRDefault="002937F9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F87AD1">
      <w:pPr>
        <w:pStyle w:val="normal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7AD1" w:rsidRDefault="002F6FF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Бийск 2021</w:t>
      </w: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AD1" w:rsidRDefault="002F6FF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F87AD1" w:rsidRDefault="00F87AD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w:anchor="_30j0zll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Паспорт комплексной программы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об  АНО ДО «ЦДП»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Проблемный анализ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Проекты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hyperlink w:anchor="3znysh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Проект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«Хочу все знать»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Проект «Поддержка одаренных детей»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Проект «Дистанционное обучение»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hyperlink w:anchor="2et92p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Проект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профессия»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hyperlink w:anchor="tyjcwt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Механизмы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реализацией программы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..20</w:t>
      </w:r>
    </w:p>
    <w:p w:rsidR="00F87AD1" w:rsidRDefault="00F87AD1">
      <w:pPr>
        <w:pStyle w:val="normal"/>
        <w:rPr>
          <w:b/>
          <w:sz w:val="24"/>
          <w:szCs w:val="24"/>
        </w:rPr>
      </w:pPr>
    </w:p>
    <w:p w:rsidR="00F87AD1" w:rsidRDefault="00F87AD1">
      <w:pPr>
        <w:pStyle w:val="normal"/>
        <w:rPr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комплексной программы развития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2268"/>
        <w:gridCol w:w="6946"/>
      </w:tblGrid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АНО ДО «Центр довузовской подготовки» на 2021-2025 годы «Кот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ченый»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Законодательная база для разработки Программы развития гимназии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AD1" w:rsidRDefault="00F8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закон  от 29.12.2012 N 273-ФЗ (ред. от 11.06.2021) "Об образовании в Российской Федерации"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Концепция развития дополнительного образования детей до 2030 года.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Паспорт национального проекта «Образование», утв. Президиумом при Президенте Российской Федерации по стратегическому развитию и национальным проектам (протокол от 24 декабря 2018 г. №16)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Приказ Министерства Просвещения Российской Федерации от 03 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тября 2019 года № 467 «Об утверждении Целевой модели развития региональных систем дополнительного образования детей».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Прогноз научно-технологического развития Российской Федерации на период до 2030 года (утв. Правительством РФ 3 января 2014 г.) </w:t>
            </w:r>
          </w:p>
          <w:p w:rsidR="00F87AD1" w:rsidRDefault="002F6FFE">
            <w:pPr>
              <w:pStyle w:val="normal"/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еральный государственный образовательный стандарт среднего общего образования (утверждён приказом Министерства образования и науки РФ от 17 мая 2012 года № 413, приказ зарегистрирован Минюстом РФ 07.06.2012г. рег. №24480) (с последующими изменениями);</w:t>
            </w:r>
          </w:p>
          <w:p w:rsidR="00F87AD1" w:rsidRDefault="002F6FFE">
            <w:pPr>
              <w:pStyle w:val="normal"/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остановление Главного государственного санитарного врача Российской Федерации от 28.09.2020 №28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F87AD1" w:rsidRDefault="002F6FFE">
            <w:pPr>
              <w:pStyle w:val="normal"/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здравоохранения и социального развития Российской Федерации от 26 августа 2010 г. № 761н.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работников образования», зарегистрирован в Минюсте РФ 6 октября 2010 г., регистрационный № 18638;</w:t>
            </w:r>
          </w:p>
          <w:p w:rsidR="00F87AD1" w:rsidRDefault="002F6FFE">
            <w:pPr>
              <w:pStyle w:val="normal"/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Приказ Министерства образования и науки Российской Федерации от 28 декабря 2010 № 2106 (Зарегистрирован в Минюсте РФ 2 февраля 2011 г. Регистрационный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стандарт «Педагог»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http://ug.ru/new_standards</w:t>
            </w:r>
          </w:p>
          <w:p w:rsidR="00F87AD1" w:rsidRDefault="002F6FFE">
            <w:pPr>
              <w:pStyle w:val="normal"/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Устав АНО ДО «ЦДП»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Стратегическая команда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Тюкавин С.Н., директор АНО ДО «ЦДП»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И.В., учитель русского языка, Дешевых М.В., учитель обществознания 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высокого качества дополнительного образования детей на основе стратегически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ориентиров государственной образовательной политики и запросов общества.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after="0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образовательного пространства, обеспечивающего условия для развития личности, ее способности к самоопределению и самореализации, для поддержки и сопровождения талантливых и одаренных детей.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after="0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 на основе освоения дополнительных программ по учебным курсам  опыта познания и самопознания, навыка самоопределения и осознанного выбора индивидуальной образовательной и профессиональной траектории.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after="0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сетевого взаимодействия и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партнерства для профессионального самоопределения детей с различными образовательными потребностями. 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after="0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4.Совершенствование форм организации образовательной деятельности в соответствии с образовательными потребностями обучающихся.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образовательного процесса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управления и контроля за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исполнением и корректировкой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контролирует выполнение программных мероприятий, выявляет несоответствие результатов реализации плановым показателям, устанавливает причины недостижения ожидаемых результатов и определяет меры по их устранению.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проектов комплексной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развития один раз в год предоставляют администрации отчет о выполнении мероприятий проекта в установленной форме (в рамках самообследования).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реализации программ дополнительного образования.</w:t>
            </w:r>
          </w:p>
          <w:p w:rsidR="00F87AD1" w:rsidRDefault="002F6FF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вариативности форм дополнительного образования (очное, дистанционное).</w:t>
            </w:r>
          </w:p>
          <w:p w:rsidR="00F87AD1" w:rsidRDefault="002F6FF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результатов внешних экспертных оценок (результаты ЕГЭ).</w:t>
            </w:r>
          </w:p>
          <w:p w:rsidR="00F87AD1" w:rsidRDefault="002F6FF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контингента обучающихся в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учебного года.</w:t>
            </w:r>
          </w:p>
          <w:p w:rsidR="00F87AD1" w:rsidRDefault="002F6FF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обучающихся, участвующих в предметных олимпиадах регионального и всероссийского уровня.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педагогический коллектив, родители обучающихся (законные представители)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образования и организационно-правовая форма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г., АНО ДО « ЦДП», реорганизация НОУ «ЦДП» 2007г.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Устав АНО ДО «ЦДП», утверждённый общим собранием учредителей, протокол № 1 от 24.04.2017 г. 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Лицензия: Серия 22Л01 № 0002422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 августа 2017 г., регистрационный № 095, срок действия - бессрочно.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659303, Алтайский край, г. Бийск, ул. Вали Максимовой, 94, офис 307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сайт: http//:noucdp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659300, г. Бийск, ул. Короленко, 47/2 (385) 41-28-04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ЕВКПО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ИНН: 2204083778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КПП: 220401001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р/сч 40703810102450101544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0400173604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Кор/счет: 30101810200000000604</w:t>
            </w:r>
          </w:p>
        </w:tc>
      </w:tr>
      <w:tr w:rsidR="00F87AD1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Сергей Николаевич, директор АНО ДО «ЦДП»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AD1" w:rsidRDefault="00F87AD1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АНО ДО «ЦДП»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дополнительного образования «Центр довузовской подготовки» создана в 2007 году (сведения о государственной регистрации внесены Межрайонной ИФНС России по крупнейшим налогоплательщикам Алтайск</w:t>
      </w:r>
      <w:r>
        <w:rPr>
          <w:rFonts w:ascii="Times New Roman" w:eastAsia="Times New Roman" w:hAnsi="Times New Roman" w:cs="Times New Roman"/>
          <w:sz w:val="24"/>
          <w:szCs w:val="24"/>
        </w:rPr>
        <w:t>ого края в единый государственный реестр юридических лиц 11 июля 2007 г.) в целях более полного удовлетворения жителей города в образовательных услугах, создания благоприятных условий для развития обучающихся, повышения качества их подготовки к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нной итоговой аттестации, обеспечения осознанного профессионального выбора.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Учреждение действует на основании Устава, а также локальных нормативных правовых документов.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Направления, по которым реализуются дополнительные общеобразовательные  программы: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физико-математическое;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естественно-научное;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гуманитарное,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лингвистическое,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инофрмационно-технологическое.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Определение реализуемых направлений и учебных курсов осуществляется ежегодно на основании анализа образовательных запросов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представителей).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направлений деятельности ЦДП является организация профессиональной ориентации обучающихся, в том числе обучающихся школ, учреждений среднего профессионального образования. В целях реализации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направления АНО ДО «ЦДП» сотрудничает с учреждениями высшего профессионального образования: организует для обучающихся и их родителей (законных представителей) консультации преподавателей ведущих вузов Томска. Новосибирска, Красноярска, проводит интенси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предметные краткосрочные курсы, которые ведут преподаватели учреждений высшего профессионального образования. Ежегодно на базе ЦДП организуется проведение региональных предметных олимпиад.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ДО «ЦДП» имеет опыт организации грантовой деятельности: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2019г. стал победителем конкурса проектов на получение гранта Губернатора Алтайского края для социально значимых некоммерческих организаций.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НОУ «ЦДП» - это развивающаяся образовательная система, современное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подростков и молодежи, обеспечивающее высокое качество образования, информационное, программно-методическое сопровождение развития обучающихся, организацию и проведение мероприятий по профориентации.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цель, реализуемая АНО ДО «ЦДП», - повышение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дополнительного образования через развитие образовательного пространства на основе преемственности со средним общим образованием,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потребностей современного подростка, молодежи, формирование компетенций,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 для социальной  адаптации, конкурентоспособности в современном обществе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решение достигается выполнением следующих задач: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оптимальные условия для удовлетворения индивидуальных потребностей обучающихся в интеллектуальном развитии; подготовки обучающихся к сдаче единого государственного экзамена; повышения уровня предметных знаний обучающихся;</w:t>
      </w:r>
    </w:p>
    <w:p w:rsidR="00F87AD1" w:rsidRDefault="002F6FF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 поддерживать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талантливых обучающихся, а также лиц, проявивших выдающиеся способности;</w:t>
      </w:r>
    </w:p>
    <w:p w:rsidR="00F87AD1" w:rsidRDefault="002F6FF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необходимые условия для личностного развития и профессионального самоопределения, социализации и адаптации обучающихся к жизни в современном обществе;</w:t>
      </w:r>
    </w:p>
    <w:p w:rsidR="00F87AD1" w:rsidRDefault="002F6FF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учебно-методическое обеспечение образовательного процесса через развитие ЭОР (создание электронной библиотеки учебных и методических материалов);</w:t>
      </w:r>
    </w:p>
    <w:p w:rsidR="00F87AD1" w:rsidRDefault="002F6FF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эффективные формы организации образовательного процесса, в том числе дистанционн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обучение.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Проблемный анализ ситуации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реализации ДОП АНО ДО «ЦДП» в 2019-2020 учебном году были связаны с эпидемиологической обстановкой: в марте 2020 г. в связи с карантинными мероприятиями сократилось количество обучающихся, реализация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 была в марте и апреле осуществлялась с использованием дистанционного обучения. Социально-экономические условия региона, общая тенденция снижения количества выпускников, планирующих поступление в вузы определила сокращение количества обучающихся в 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«ЦДП». В рамках реализации ДОП в учебный период 2020-2021 года обучающие осваивали программы только по 4 учебным курсам, что было обусловлено образовательным запросом. 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по учебному курсу «Подготовка к ЕГЭ по русскому языку» осваивали 7 обучающихся, по курсу «Подготовка к ЕГЭ по математике» - 8 человек, по курсу «Подготовка к ЕГЭ по обществознанию» - 11 чел., по курсу «Подготовка к ЕГЭ по физике» - 14 человек. 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учебного года были пропуски занятий обучающимися по причине болезни, карантину, что отрицательно сказывалось на эффективности организации учебного процесса. В целях обеспечения качества реализации программ педагогами  ЦДП проводилась индивидуальная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работа, использовалась технология дистанционного обучения.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обучающиеся ЦДП успешно прошли итоговую аттестацию, получив по результатам ЕГЭ баллы, достаточные для поступления в высшие учебные заведения.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балл в 2021 г. по результатам ЕГЭ составил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- 75, 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- 61 , 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физике - 62, 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обществознанию – 69.</w:t>
      </w:r>
    </w:p>
    <w:p w:rsidR="00F87AD1" w:rsidRDefault="002F6FF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3.1.Статистические сведения </w:t>
      </w:r>
    </w:p>
    <w:tbl>
      <w:tblPr>
        <w:tblStyle w:val="a7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"/>
        <w:gridCol w:w="5278"/>
        <w:gridCol w:w="3696"/>
      </w:tblGrid>
      <w:tr w:rsidR="00F87AD1">
        <w:trPr>
          <w:cantSplit/>
          <w:trHeight w:val="20"/>
          <w:tblHeader/>
        </w:trPr>
        <w:tc>
          <w:tcPr>
            <w:tcW w:w="401" w:type="dxa"/>
            <w:vMerge w:val="restart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п/п</w:t>
            </w:r>
          </w:p>
        </w:tc>
        <w:tc>
          <w:tcPr>
            <w:tcW w:w="5278" w:type="dxa"/>
            <w:vMerge w:val="restart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Показатели</w:t>
            </w: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Единица</w:t>
            </w:r>
          </w:p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измерения</w:t>
            </w:r>
          </w:p>
        </w:tc>
      </w:tr>
      <w:tr w:rsidR="00F87AD1">
        <w:trPr>
          <w:cantSplit/>
          <w:trHeight w:val="20"/>
          <w:tblHeader/>
        </w:trPr>
        <w:tc>
          <w:tcPr>
            <w:tcW w:w="401" w:type="dxa"/>
            <w:vMerge/>
            <w:shd w:val="clear" w:color="auto" w:fill="FFFFFF"/>
          </w:tcPr>
          <w:p w:rsidR="00F87AD1" w:rsidRDefault="00F87A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  <w:vMerge/>
            <w:shd w:val="clear" w:color="auto" w:fill="FFFFFF"/>
          </w:tcPr>
          <w:p w:rsidR="00F87AD1" w:rsidRDefault="00F87A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чел.</w:t>
            </w:r>
          </w:p>
        </w:tc>
      </w:tr>
      <w:tr w:rsidR="00F87AD1">
        <w:trPr>
          <w:cantSplit/>
          <w:trHeight w:val="20"/>
          <w:tblHeader/>
        </w:trPr>
        <w:tc>
          <w:tcPr>
            <w:tcW w:w="401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278" w:type="dxa"/>
            <w:shd w:val="clear" w:color="auto" w:fill="FFFFFF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</w:t>
            </w:r>
          </w:p>
        </w:tc>
      </w:tr>
      <w:tr w:rsidR="00F87AD1">
        <w:trPr>
          <w:cantSplit/>
          <w:trHeight w:val="20"/>
          <w:tblHeader/>
        </w:trPr>
        <w:tc>
          <w:tcPr>
            <w:tcW w:w="401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278" w:type="dxa"/>
            <w:shd w:val="clear" w:color="auto" w:fill="FFFFFF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получающих среднее общее образование</w:t>
            </w: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</w:tr>
      <w:tr w:rsidR="00F87AD1">
        <w:trPr>
          <w:cantSplit/>
          <w:trHeight w:val="20"/>
          <w:tblHeader/>
        </w:trPr>
        <w:tc>
          <w:tcPr>
            <w:tcW w:w="401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278" w:type="dxa"/>
            <w:shd w:val="clear" w:color="auto" w:fill="FFFFFF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получивших среднее общее образование ранее до 2021 г.</w:t>
            </w: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AD1">
        <w:trPr>
          <w:cantSplit/>
          <w:trHeight w:val="20"/>
          <w:tblHeader/>
        </w:trPr>
        <w:tc>
          <w:tcPr>
            <w:tcW w:w="401" w:type="dxa"/>
            <w:shd w:val="clear" w:color="auto" w:fill="FFFFFF"/>
          </w:tcPr>
          <w:p w:rsidR="00F87AD1" w:rsidRDefault="002F6FFE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278" w:type="dxa"/>
            <w:shd w:val="clear" w:color="auto" w:fill="FFFFFF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получающих среднее профессиональное образование</w:t>
            </w:r>
          </w:p>
        </w:tc>
        <w:tc>
          <w:tcPr>
            <w:tcW w:w="3696" w:type="dxa"/>
            <w:shd w:val="clear" w:color="auto" w:fill="FFFFFF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состава обучающихся показывает, что в составе групп преобладают школьники, готовящиеся к сдаче ЕГЭ в текущем учебном, также поступают в ЦДП обучающиеся, получающие среднее профессиональное образование и планирующие сдачу ЕГЭ для поступления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вузы. Следовательно, актуальна работы с контингентом обучающихся образовательных организаций среднего профессионального образования.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AD1" w:rsidRDefault="002F6FFE">
      <w:pPr>
        <w:pStyle w:val="normal"/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 Содержание подготовки 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Анализ результатов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720"/>
        <w:gridCol w:w="3191"/>
      </w:tblGrid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индикаторы </w:t>
            </w:r>
          </w:p>
          <w:p w:rsidR="00F87AD1" w:rsidRDefault="002F6FF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достижения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2017-2018 у.г. – 95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2018-2019 у. г. – 70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2019-2020 у.г. –61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снижения количества обучающихся, одной из причин которой является низкая степень информационного присутствия.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получивший балл за ЕГЭ выше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 балла по краю 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2017-2018 уч.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 - 36 %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- 34%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физике -30 %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обществознанию - 48%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2018-2019 уч.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 - 31 %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- 38%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физике - 29%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обществознанию - 41%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2019-2020 уч.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 - 52 %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-50 %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физике -39 %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обществознанию - 43%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лет отмечается тенденция повышения качества освоения реализуемых программ подготовки к ЕГЭ, кроме обществознания. Это объясняется и особенностям уровня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дготовки контингента обучающихся в разные годы, и особенностями учебного материала, включаемого в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структуру теста ЕГЭ.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поступивших в высшие учебные заведения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2017-2018 у.г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97,89 %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2018-2019 у.г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–97,14 %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2019-2020 у.г.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95,1%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незначительного снижения количества обучающихся, поступивших в высшие учебные заведения (за три года на 2, 79%)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принявших участие в предметных олимпиадах (всероссийских, региональных)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2017-2018 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87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2018-2019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64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2019-2020у.г.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52 чел.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снижения количества обучающихся, принимающих участие в олимпиадах связана с уровнем мотивации и качества подготовки по предмету.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ставших призерами, победителями предметных олимпиад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всероссийских, региональных)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2017-2018 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28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2018-2019 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19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2019-2020у.г.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16 чел.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снижения количества обучающихся, ставших призерами и победителями олимпиад, связана как с тенденцией снижения общего количества, так и с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 подготовки обучающихся к олимпиадам.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Гранты 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Грант Губернатора Алтайского края для социально значимых некоммерческих организаций.</w:t>
            </w:r>
          </w:p>
        </w:tc>
        <w:tc>
          <w:tcPr>
            <w:tcW w:w="3191" w:type="dxa"/>
          </w:tcPr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blHeader/>
        </w:trPr>
        <w:tc>
          <w:tcPr>
            <w:tcW w:w="9571" w:type="dxa"/>
            <w:gridSpan w:val="3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 АНО ДО «Центр довузовской подготовки» - лауреат конкурса Топ 100 лучших организаций дополнительного образования VI Всероссийского образовательного форума «Школа России».</w:t>
            </w:r>
          </w:p>
        </w:tc>
      </w:tr>
    </w:tbl>
    <w:p w:rsidR="00F87AD1" w:rsidRDefault="00F87AD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AD1" w:rsidRDefault="00F87AD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образовательной и иной деятельности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720"/>
        <w:gridCol w:w="3191"/>
      </w:tblGrid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индикаторы </w:t>
            </w:r>
          </w:p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достижения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формы получения образования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– 61 человек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образовательные программы в практике ЦДП не реализуются 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 нет спроса на данную образовательную услугу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работы по выявлению и сопровождению одаренных детей и талантливой молодежи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охваченных данной работой: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2017-2018 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87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2018-2019 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64 чел.</w:t>
            </w:r>
          </w:p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2019-2020у.г.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52 чел.</w:t>
            </w:r>
          </w:p>
          <w:p w:rsidR="00F87AD1" w:rsidRDefault="00F87AD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снижении количества участников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метных олимпиадах недостаток в качестве подготовки к выполнению олимпиадных работ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использующих в образовательном процессе инновационные технологии, в том числе информационно-коммуникационные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имеют достаточный уровень сформированности профессиональной компетенции в области применения инновационных технологий, в том числе информационно-коммуникационной, реализации принципов системно-деятельностного подхода.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результатов самообследования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представление результатов самообследования на общем собрании, размещение материалов на официальном сайте АНО ДО «ЦДП»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освещение достижений ЦДП в средствах массовой информации</w:t>
            </w:r>
          </w:p>
        </w:tc>
      </w:tr>
      <w:tr w:rsidR="00F87AD1">
        <w:trPr>
          <w:cantSplit/>
          <w:tblHeader/>
        </w:trPr>
        <w:tc>
          <w:tcPr>
            <w:tcW w:w="266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документооборот </w:t>
            </w:r>
          </w:p>
        </w:tc>
        <w:tc>
          <w:tcPr>
            <w:tcW w:w="3720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</w:t>
            </w:r>
          </w:p>
        </w:tc>
        <w:tc>
          <w:tcPr>
            <w:tcW w:w="319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программного обеспечения работы сайта ЦДП</w:t>
            </w:r>
          </w:p>
        </w:tc>
      </w:tr>
    </w:tbl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Анализ условий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9"/>
        <w:gridCol w:w="4701"/>
        <w:gridCol w:w="3081"/>
      </w:tblGrid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01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индикаторы </w:t>
            </w:r>
          </w:p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достижения</w:t>
            </w: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</w:tr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470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локальные акты АНО ДО «ЦДП» в части: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уставной деятельности;</w:t>
            </w:r>
          </w:p>
          <w:p w:rsidR="00F87AD1" w:rsidRDefault="002F6FFE">
            <w:pPr>
              <w:pStyle w:val="normal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образовательного процесса;</w:t>
            </w:r>
          </w:p>
          <w:p w:rsidR="00F87AD1" w:rsidRDefault="002F6FFE">
            <w:pPr>
              <w:pStyle w:val="normal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реализации образовательной программы;</w:t>
            </w:r>
          </w:p>
          <w:p w:rsidR="00F87AD1" w:rsidRDefault="002F6FFE">
            <w:pPr>
              <w:pStyle w:val="normal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прав и ответственности субъектов образовательного процесса;</w:t>
            </w:r>
          </w:p>
          <w:p w:rsidR="00F87AD1" w:rsidRDefault="002F6FFE">
            <w:pPr>
              <w:pStyle w:val="normal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регламентации трудовых отношений с работниками;</w:t>
            </w:r>
          </w:p>
          <w:p w:rsidR="00F87AD1" w:rsidRDefault="00F87AD1">
            <w:pPr>
              <w:pStyle w:val="normal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законодательные акты РФ и Алтайского края, муниципалитета систематические вносятся изменения (дополнения, новая редакция), которые являются обязательными для исполнения образовательными учреждениями. Необходимо своевременно вносить изменения в локальные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АНО ДО «ЦДП», оптимально согласовывая требования ведомств, 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регламентирующих образовательную деятельность организаций дополнительного образования</w:t>
            </w:r>
          </w:p>
        </w:tc>
      </w:tr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4701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 АНО ДО «ЦДП» имеют высокий уровень профессиональных компетенций, опыт подготовки обучающихся к ЕГЭ, в т.ч. в рамках реализации образовательных программ основного и среднего общего образования;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 прошли курсовую подготовку по вопросам реализации ФГОС, методике преподавания предмета;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организована деятельность по поддержке одаренных обучающихся; 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 владеют компетенцией в области разработки учебно-методических материалов.</w:t>
            </w: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изменения в структуре и содержании КИМ ЕГЭ по учебным предметам требуют от педагогов постоянной работы по поиску, отбору и использованию в учебном процессе наиболее эффективных методов и приемов работы с обучающимися, ежегодной разработки учебно-трениро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вочных материалов.</w:t>
            </w:r>
          </w:p>
          <w:p w:rsidR="00F87AD1" w:rsidRDefault="00F87AD1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Кадровые </w:t>
            </w:r>
          </w:p>
        </w:tc>
        <w:tc>
          <w:tcPr>
            <w:tcW w:w="470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работниками в соответствии – 100%,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педагогические работники имеют высшую квалификационную категорию.</w:t>
            </w:r>
          </w:p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Педагогические работники, имеющие ведомственные награды («Почетный работник общего образования  РФ») - 3 чел. </w:t>
            </w:r>
          </w:p>
          <w:p w:rsidR="00F87AD1" w:rsidRDefault="00F87AD1">
            <w:pPr>
              <w:pStyle w:val="normal"/>
              <w:tabs>
                <w:tab w:val="left" w:pos="176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педагогических работников старше 50 лет</w:t>
            </w:r>
          </w:p>
        </w:tc>
      </w:tr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701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обучающихся, которым обеспечена возможность пользоваться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лектронной  библиотекой– 100%;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обучающихся, которым обеспечена возможность пользоваться широкополосным интернетом – 100%;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арендуемый кабинет оснащен необходимым оборудованием (компьютер, проектор, принтер, экран).</w:t>
            </w: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«ЦДП» осуществляет деятельность на базе МБОУ «СОШ № 20 с углубленным изучением отдельных предметов» на основе договора аренды</w:t>
            </w:r>
          </w:p>
        </w:tc>
      </w:tr>
      <w:tr w:rsidR="00F87AD1">
        <w:trPr>
          <w:cantSplit/>
          <w:tblHeader/>
        </w:trPr>
        <w:tc>
          <w:tcPr>
            <w:tcW w:w="1789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</w:t>
            </w:r>
          </w:p>
          <w:p w:rsidR="00F87AD1" w:rsidRDefault="00F87AD1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образовательной программы осуществляется за счет средств оплаты образовательных услуг</w:t>
            </w:r>
          </w:p>
        </w:tc>
        <w:tc>
          <w:tcPr>
            <w:tcW w:w="3081" w:type="dxa"/>
          </w:tcPr>
          <w:p w:rsidR="00F87AD1" w:rsidRDefault="002F6FFE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заказчиками образовательных услуг условий договора.</w:t>
            </w:r>
          </w:p>
        </w:tc>
      </w:tr>
    </w:tbl>
    <w:p w:rsidR="00F87AD1" w:rsidRDefault="00F87AD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Сведения о кадровом обеспечении 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2"/>
        <w:gridCol w:w="2410"/>
      </w:tblGrid>
      <w:tr w:rsidR="00F87AD1">
        <w:trPr>
          <w:cantSplit/>
          <w:tblHeader/>
        </w:trPr>
        <w:tc>
          <w:tcPr>
            <w:tcW w:w="691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кадрового обеспечения</w:t>
            </w:r>
          </w:p>
        </w:tc>
        <w:tc>
          <w:tcPr>
            <w:tcW w:w="241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значение (%)</w:t>
            </w:r>
          </w:p>
        </w:tc>
      </w:tr>
      <w:tr w:rsidR="00F87AD1">
        <w:trPr>
          <w:cantSplit/>
          <w:tblHeader/>
        </w:trPr>
        <w:tc>
          <w:tcPr>
            <w:tcW w:w="691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штатами</w:t>
            </w:r>
          </w:p>
        </w:tc>
        <w:tc>
          <w:tcPr>
            <w:tcW w:w="241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87AD1">
        <w:trPr>
          <w:cantSplit/>
          <w:tblHeader/>
        </w:trPr>
        <w:tc>
          <w:tcPr>
            <w:tcW w:w="691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высшее педагогическое образование (в общей численности педагогических работников)</w:t>
            </w:r>
          </w:p>
        </w:tc>
        <w:tc>
          <w:tcPr>
            <w:tcW w:w="241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87AD1">
        <w:trPr>
          <w:cantSplit/>
          <w:tblHeader/>
        </w:trPr>
        <w:tc>
          <w:tcPr>
            <w:tcW w:w="691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высшую квалификационные категории</w:t>
            </w:r>
          </w:p>
        </w:tc>
        <w:tc>
          <w:tcPr>
            <w:tcW w:w="241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87AD1">
        <w:trPr>
          <w:cantSplit/>
          <w:tblHeader/>
        </w:trPr>
        <w:tc>
          <w:tcPr>
            <w:tcW w:w="691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прошедших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подготовку, переподготовку</w:t>
            </w:r>
          </w:p>
        </w:tc>
        <w:tc>
          <w:tcPr>
            <w:tcW w:w="2410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Педагогический коллектив характеризуется высоким уровнем квалификации,  имеет опыт работы по подготовке к ГИА, работы с одаренными детьми, однако можно отметить процесс «старения» педагогических кадров: 3 человека старше 55 лет (75%).</w:t>
      </w:r>
    </w:p>
    <w:p w:rsidR="00F87AD1" w:rsidRDefault="00F87AD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w:anchor="1fob9te">
        <w:r w:rsidR="002F6FF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Проекты</w:t>
        </w:r>
      </w:hyperlink>
      <w:r w:rsidR="002F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комплексной программы развития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комплексной программы развития на 2021-2025г.г. направлены на реализацию основных направлений деятельности ЦДП и обусловлены основными задачами: создание оптимальных условий для удовлетворения индивидуальных потребностей обучающихся в интеллектуаль</w:t>
      </w:r>
      <w:r>
        <w:rPr>
          <w:rFonts w:ascii="Times New Roman" w:eastAsia="Times New Roman" w:hAnsi="Times New Roman" w:cs="Times New Roman"/>
          <w:sz w:val="24"/>
          <w:szCs w:val="24"/>
        </w:rPr>
        <w:t>ном развитии;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сдаче единого государственного экзамена; повышения уровня предметных знаний обучающихся, поддержки одаренных детей, эффективной помощи в профессиональном самоопределении.</w:t>
      </w:r>
    </w:p>
    <w:p w:rsidR="00F87AD1" w:rsidRDefault="00F87AD1">
      <w:pPr>
        <w:pStyle w:val="normal"/>
        <w:tabs>
          <w:tab w:val="right" w:pos="9072"/>
        </w:tabs>
        <w:rPr>
          <w:i/>
          <w:sz w:val="24"/>
          <w:szCs w:val="24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w:anchor="3znysh7">
        <w:r w:rsidR="002F6FF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Проект</w:t>
        </w:r>
      </w:hyperlink>
      <w:r w:rsidR="002F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«Хочу все </w:t>
      </w:r>
      <w:r w:rsidR="002F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знать»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организационно-педагогических условий для реализации программ учебных курсов и обеспечения преемственности с программами основного и среднего общего образования, требованиями ФГОС.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F87AD1" w:rsidRDefault="002F6F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нормативно-правовой документации, обеспечивающей реализацию образовательной программы.</w:t>
      </w:r>
    </w:p>
    <w:p w:rsidR="00F87AD1" w:rsidRDefault="002F6F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освоения учебных курсов обучающимися ЦДП.</w:t>
      </w:r>
    </w:p>
    <w:p w:rsidR="00F87AD1" w:rsidRDefault="002F6F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содержания образовательных программ.</w:t>
      </w:r>
    </w:p>
    <w:p w:rsidR="00F87AD1" w:rsidRDefault="002F6F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программно-методического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используемых педагогических технологий.</w:t>
      </w:r>
    </w:p>
    <w:p w:rsidR="00F87AD1" w:rsidRDefault="002F6F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контингента обучающихся ЦДП.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возможностей и рисков достижения цели проекта</w:t>
      </w:r>
    </w:p>
    <w:tbl>
      <w:tblPr>
        <w:tblStyle w:val="ac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F87AD1">
        <w:trPr>
          <w:cantSplit/>
          <w:tblHeader/>
        </w:trPr>
        <w:tc>
          <w:tcPr>
            <w:tcW w:w="4785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4786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F87AD1">
        <w:trPr>
          <w:cantSplit/>
          <w:tblHeader/>
        </w:trPr>
        <w:tc>
          <w:tcPr>
            <w:tcW w:w="4785" w:type="dxa"/>
          </w:tcPr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квалификация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высшая кв. категория – 100%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отличник народного просвещения/ почетный работник общего образования/ Почетный работник воспитания и просвещения РФ/ Заслуженный учитель РФ – 12%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100% педагогических работников прошли обучение на курсах повышения  квалификации по ФГОС.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ально-технической базы и здания соответствует санитарным нормам и пожарной безопасности. 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Освоенное сетевое пространство (Сетевое взаимодействие с учреждениями общего и профессионального образования).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ЦДП, обеспечивающего доступ обучающихся к образовательным ресурсам.</w:t>
            </w:r>
          </w:p>
        </w:tc>
        <w:tc>
          <w:tcPr>
            <w:tcW w:w="4786" w:type="dxa"/>
          </w:tcPr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Разный уровень обученности и учебной мотивации обучающихся.</w:t>
            </w:r>
          </w:p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состава учебных групп в течение учебного года.</w:t>
            </w:r>
          </w:p>
          <w:p w:rsidR="00F87AD1" w:rsidRDefault="00F87AD1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План-график мероприятий </w:t>
      </w:r>
    </w:p>
    <w:tbl>
      <w:tblPr>
        <w:tblStyle w:val="ad"/>
        <w:tblW w:w="10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1"/>
        <w:gridCol w:w="1515"/>
        <w:gridCol w:w="1793"/>
        <w:gridCol w:w="1892"/>
        <w:gridCol w:w="1384"/>
        <w:gridCol w:w="1310"/>
      </w:tblGrid>
      <w:tr w:rsidR="00F87AD1">
        <w:trPr>
          <w:cantSplit/>
          <w:tblHeader/>
        </w:trPr>
        <w:tc>
          <w:tcPr>
            <w:tcW w:w="2231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15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93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1892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384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310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  <w:vAlign w:val="center"/>
          </w:tcPr>
          <w:p w:rsidR="00F87AD1" w:rsidRDefault="002F6FFE">
            <w:pPr>
              <w:pStyle w:val="normal"/>
              <w:shd w:val="clear" w:color="auto" w:fill="FFFFFF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Разработка нормативно-правовой документации, </w:t>
            </w:r>
          </w:p>
          <w:p w:rsidR="00F87AD1" w:rsidRDefault="002F6FFE">
            <w:pPr>
              <w:pStyle w:val="normal"/>
              <w:shd w:val="clear" w:color="auto" w:fill="FFFFFF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обеспечивающей реализацию ДОП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Дополнительной общеобразовательной программы АНО ДО «ЦДП» (общеразвивающая)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Дополнительная общеобразовательная программа АНО ДО ЦДП»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АНО ДО «ЦДП» (общеразвивающая)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требованиям к образовательным программам</w:t>
            </w:r>
          </w:p>
          <w:p w:rsidR="00F87AD1" w:rsidRDefault="00F8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акты АНО ДО «ЦДП» (по необходимости)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об утверждении локальных актов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локальные нормативные акты: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Положения:</w:t>
            </w:r>
          </w:p>
          <w:p w:rsidR="00F87AD1" w:rsidRDefault="002F6FFE">
            <w:pPr>
              <w:pStyle w:val="normal"/>
              <w:spacing w:after="0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рабочей программе учебного курса. Положение о порядке приема и отчисления обучающихся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образовательным программам дополнительного образования 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требованиям законодательства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2020г.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С.Н., директор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с учреждениями основного и профессионального образования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сетевого взаимодействия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задачам деятельности ЦДП</w:t>
            </w:r>
          </w:p>
          <w:p w:rsidR="00F87AD1" w:rsidRDefault="00F8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С.Н., директор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педагогов к построению образовательного процесса ЦДП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педагогов 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Свидетельства, сертификаты о повышении квалификации</w:t>
            </w:r>
          </w:p>
          <w:p w:rsidR="00F87AD1" w:rsidRDefault="00F87AD1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семинарах, вебинарах, в том числе проводимых ФИПИ,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реализации ДОП  педагогическими кадрами, прошедшими курсовую подготовку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С.Н., директор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содержания образования, программно-методического обеспечения и педагогических технологий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по учебным курсам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рабочих учебных программ»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учебным курсам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требованиям к РУП, положению о рабочей программе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(ежегодно)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кодификатора и спецификации, демоверсии тестов ЕГЭ ФИПИ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Кодификатор, спецификация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содержания, приемов и методов изучения учебного материала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учебных занятий требованиям кодификатора, спецификации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на сайте ЦДП учебно-методических материалов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учебно-методических материалов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образовательного процесса, качества освоения учебных программ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оценки качества образования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(изменений) в  систему оценки достижения планируемых результатов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изменений (дополнений) в ДОП</w:t>
            </w:r>
          </w:p>
          <w:p w:rsidR="00F87AD1" w:rsidRDefault="00F87AD1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соответствующие изменения в разделы ДОП, рабочих программ по учебным курсам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требованиям ФГОС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привидения в соответствие с нормативными документами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</w:tbl>
    <w:p w:rsidR="00F87AD1" w:rsidRDefault="00F87AD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Обеспечены оптимальные условия для реализации Дополнительной общеобразовательной (общеразвивающей) программы АНО ДО ЦДП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доступности и вариативности качественного дополнительного образования, 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результатов независимой оценки качества образования 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педагогов, регулярно использующих в образовательном процессе системно-деятельностный подход, составит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библиотеки учебно-методических материалов в электронном варианте</w:t>
      </w:r>
    </w:p>
    <w:p w:rsidR="00F87AD1" w:rsidRDefault="002F6F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контингента обучающихся 95%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«Поддержка одаренных детей»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поиску, педагогической поддержке и сопровождению талантливых и одаренных  детей является одним из направлений приоритетного национального проекта Образование и национальной образовательной инициативы "Наша новая школа", а также обусловлена требов</w:t>
      </w:r>
      <w:r>
        <w:rPr>
          <w:rFonts w:ascii="Times New Roman" w:eastAsia="Times New Roman" w:hAnsi="Times New Roman" w:cs="Times New Roman"/>
          <w:sz w:val="24"/>
          <w:szCs w:val="24"/>
        </w:rPr>
        <w:t>аниями Федеральных государственных стандартов. На наш взгляд, наиболее перспективным направлением поиска и сопровождения одаренных детей является вариант создания в  ЦДП условий для проявления способностей обучающихся, удовлетворения их образовательных пот</w:t>
      </w:r>
      <w:r>
        <w:rPr>
          <w:rFonts w:ascii="Times New Roman" w:eastAsia="Times New Roman" w:hAnsi="Times New Roman" w:cs="Times New Roman"/>
          <w:sz w:val="24"/>
          <w:szCs w:val="24"/>
        </w:rPr>
        <w:t>ребностей и творческих способностей.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организационно-педагогических условий поддержки одаренных детей.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F87AD1" w:rsidRDefault="002F6FF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обучающимся возможности для проявления своих способностей в различных областях знаний через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ганизацию участия в предметных олимпиадах, конкурсах.</w:t>
      </w:r>
    </w:p>
    <w:p w:rsidR="00F87AD1" w:rsidRDefault="002F6FF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 научно-методическое и педагогическое сопровождение талантливых детей.</w:t>
      </w:r>
    </w:p>
    <w:p w:rsidR="00F87AD1" w:rsidRDefault="002F6FF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сетевое взаимодействие с образовательными организациями высшего профессионального образования.</w:t>
      </w:r>
    </w:p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озможностей и рисков достижения цели проекта</w:t>
      </w:r>
    </w:p>
    <w:tbl>
      <w:tblPr>
        <w:tblStyle w:val="ae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6"/>
        <w:gridCol w:w="4395"/>
      </w:tblGrid>
      <w:tr w:rsidR="00F87AD1">
        <w:trPr>
          <w:cantSplit/>
          <w:tblHeader/>
        </w:trPr>
        <w:tc>
          <w:tcPr>
            <w:tcW w:w="5176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4395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F87AD1">
        <w:trPr>
          <w:cantSplit/>
          <w:tblHeader/>
        </w:trPr>
        <w:tc>
          <w:tcPr>
            <w:tcW w:w="5176" w:type="dxa"/>
          </w:tcPr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квалификация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высшая кв. категория –100 %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100% педагогических работников прошли обучение на курсах повышения  квалификации по ФГОС.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Результативный опыт участия в олимпиадах, конкурсах, проектах, научно-практических конференциях муниципального, регионального и всероссийского уровня педагогов и обучающихся.</w:t>
            </w:r>
          </w:p>
          <w:p w:rsidR="00F87AD1" w:rsidRDefault="002F6FFE">
            <w:pPr>
              <w:pStyle w:val="normal"/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с учреждениями образования.</w:t>
            </w:r>
          </w:p>
        </w:tc>
        <w:tc>
          <w:tcPr>
            <w:tcW w:w="4395" w:type="dxa"/>
          </w:tcPr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перспектив личностн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развития  через исследовательскую, проектную и иную творческую деятельность обучающихся.  </w:t>
            </w:r>
          </w:p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родителей на академическую успешность ребенка. </w:t>
            </w:r>
          </w:p>
          <w:p w:rsidR="00F87AD1" w:rsidRDefault="00F87AD1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План-график мероприятий</w:t>
      </w:r>
    </w:p>
    <w:tbl>
      <w:tblPr>
        <w:tblStyle w:val="a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1700"/>
        <w:gridCol w:w="1844"/>
        <w:gridCol w:w="1701"/>
        <w:gridCol w:w="1417"/>
        <w:gridCol w:w="1418"/>
      </w:tblGrid>
      <w:tr w:rsidR="00F87AD1">
        <w:trPr>
          <w:cantSplit/>
          <w:trHeight w:val="841"/>
          <w:tblHeader/>
        </w:trPr>
        <w:tc>
          <w:tcPr>
            <w:tcW w:w="2093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0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844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417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7AD1">
        <w:trPr>
          <w:cantSplit/>
          <w:trHeight w:val="660"/>
          <w:tblHeader/>
        </w:trPr>
        <w:tc>
          <w:tcPr>
            <w:tcW w:w="10173" w:type="dxa"/>
            <w:gridSpan w:val="6"/>
            <w:vAlign w:val="center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системы научно-методического и педагогического сопровождения </w:t>
            </w:r>
          </w:p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одаренных детей</w:t>
            </w:r>
          </w:p>
        </w:tc>
      </w:tr>
      <w:tr w:rsidR="00F87AD1">
        <w:trPr>
          <w:cantSplit/>
          <w:trHeight w:val="310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обучающихся, имеющих мотивацию к участию в предметных олимпиадах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обучающихся, пакет документов участника олимпиады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олимпиад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С.Н., директор</w:t>
            </w:r>
          </w:p>
        </w:tc>
      </w:tr>
      <w:tr w:rsidR="00F87AD1">
        <w:trPr>
          <w:cantSplit/>
          <w:trHeight w:val="310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сопровождение участников олимпиад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индивидуальной работы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олимпиад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rHeight w:val="310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предметных олимпиад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сетевого взаимодействия, приказ об организации  и проведении олимпиады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образовательного пространства ЦДП разными (новыми) видами деятельности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муниципальном, региональном, федеральном уровнях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 С.Н.,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87AD1">
        <w:trPr>
          <w:cantSplit/>
          <w:trHeight w:val="315"/>
          <w:tblHeader/>
        </w:trPr>
        <w:tc>
          <w:tcPr>
            <w:tcW w:w="10173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содержания образования и педагогических технологий</w:t>
            </w:r>
          </w:p>
        </w:tc>
      </w:tr>
      <w:tr w:rsidR="00F87AD1">
        <w:trPr>
          <w:cantSplit/>
          <w:trHeight w:val="315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РУП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РУП»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учебных курсов, их реализация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Положению о рабочей программе 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(ежегодно)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Тюкавин С.Н., директор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rHeight w:val="315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интенсивных предметных курсов на базе ЦДП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образовательного пространства ЦДП разными (новыми) видами деятельности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обучающихся, участвующих в олимпиадах, конкурсах, проектах, в курсах интенсивной подготовки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Тюкавин С.Н., директор </w:t>
            </w:r>
          </w:p>
          <w:p w:rsidR="00F87AD1" w:rsidRDefault="00F87AD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D1">
        <w:trPr>
          <w:cantSplit/>
          <w:trHeight w:val="315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дистанционного обучения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организации дистанционного обучения» 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содержания образования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образовательных программ, результативное участие в олимпиадах, конкурсах, проектах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Тюкавин С.Н., директор </w:t>
            </w:r>
          </w:p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rHeight w:val="315"/>
          <w:tblHeader/>
        </w:trPr>
        <w:tc>
          <w:tcPr>
            <w:tcW w:w="20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профориентационной работы </w:t>
            </w:r>
          </w:p>
        </w:tc>
        <w:tc>
          <w:tcPr>
            <w:tcW w:w="1700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сетевого взаимодействия, приказ об организации экскурсий в вузы г. Томска, г. Новосибирска</w:t>
            </w:r>
          </w:p>
        </w:tc>
        <w:tc>
          <w:tcPr>
            <w:tcW w:w="1844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содержания образования</w:t>
            </w:r>
          </w:p>
        </w:tc>
        <w:tc>
          <w:tcPr>
            <w:tcW w:w="170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осознанного выбора образовательного маршрута, количество обучающихся, участвующих в экскурсиях, количество участников встреч с представителями вузов</w:t>
            </w:r>
          </w:p>
        </w:tc>
        <w:tc>
          <w:tcPr>
            <w:tcW w:w="1417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18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Тюкавин С.Н., директор 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F87AD1" w:rsidRDefault="002F6FF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доступности и вариативности качественного образования.</w:t>
      </w:r>
    </w:p>
    <w:p w:rsidR="00F87AD1" w:rsidRDefault="002F6FF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качества образования по результатам ЕГЭ выше средних по городу и краю. Увеличение доли выпускников 11-х классов, получивших по результатам ЕГЭ более 65.</w:t>
      </w:r>
    </w:p>
    <w:p w:rsidR="00F87AD1" w:rsidRDefault="002F6FF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 учащихся, участвующих в предметных олимпиадах, конкурсах, образовательных программах, грантах, научно-практических конференциях разного уровня, составит не менее 60%.</w:t>
      </w:r>
    </w:p>
    <w:p w:rsidR="00F87AD1" w:rsidRDefault="002F6FF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численности учащихся, принявших участие в региональном этапе 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олимпиады школьников, в том числе призеров и победителей.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2et92p0">
        <w:r w:rsidR="002F6FF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Проект</w:t>
        </w:r>
      </w:hyperlink>
      <w:r w:rsidR="002F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«Дистанционное обучение»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Дистанционное обучение как форма организации образовательной деятельности в рамках реализации дополнительной общеобразовательной (обще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развивающей) программы дополнительного образования позволяет эффективно решать задачи обеспечения доступности, непрерывности дополнительного образования и качества реализации программ.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реализации данного проекта обусловлена также особенностями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учебного процесса в АНО ДО ЦДП: подвижность состава обучающихся в течение учебного периода, невозможность посещения занятий отдельными учащимися по уважительным причинам (болезнь, участие в соревнованиях, удаленность проживания (обучающиеся се</w:t>
      </w:r>
      <w:r>
        <w:rPr>
          <w:rFonts w:ascii="Times New Roman" w:eastAsia="Times New Roman" w:hAnsi="Times New Roman" w:cs="Times New Roman"/>
          <w:sz w:val="24"/>
          <w:szCs w:val="24"/>
        </w:rPr>
        <w:t>льских школ) и другие), а также возможные карантинные мероприятия.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создание оптимальных условий для реализации принципов доступности, непрерывности, вариативности, индивидуализации освоения дополнительной общеобразовательной (общеразвивающей) программы дополнительного образования, в т.ч. с учетом современных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к организации образовательного процесса в условиях возможной неблагоприятной эпидемиологической обстановки.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AD1" w:rsidRDefault="002F6FF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 доступность и вариативность форм получения дополнительного образования.</w:t>
      </w:r>
    </w:p>
    <w:p w:rsidR="00F87AD1" w:rsidRDefault="002F6FF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здоровьесберегающие условия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образовательной программы.</w:t>
      </w:r>
    </w:p>
    <w:p w:rsidR="00F87AD1" w:rsidRDefault="002F6FF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информационные и коммуникативные компетенции участников образовательных отношений.</w:t>
      </w:r>
    </w:p>
    <w:p w:rsidR="00F87AD1" w:rsidRDefault="002F6FF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фонд электронных учебно-методических материалов.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возможностей и рисков достижения цели проекта</w:t>
      </w:r>
    </w:p>
    <w:tbl>
      <w:tblPr>
        <w:tblStyle w:val="af0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6"/>
        <w:gridCol w:w="3545"/>
      </w:tblGrid>
      <w:tr w:rsidR="00F87AD1">
        <w:trPr>
          <w:cantSplit/>
          <w:tblHeader/>
        </w:trPr>
        <w:tc>
          <w:tcPr>
            <w:tcW w:w="6026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3545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F87AD1">
        <w:trPr>
          <w:cantSplit/>
          <w:tblHeader/>
        </w:trPr>
        <w:tc>
          <w:tcPr>
            <w:tcW w:w="6026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которым обеспечена возможность пользоваться электронной библиотекой – 100% 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имеющих возможность пользоваться платформой Skype– 100%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имеющих возможность пользоваться платформой Skype– 100%</w:t>
            </w:r>
          </w:p>
          <w:p w:rsidR="00F87AD1" w:rsidRDefault="002F6FFE">
            <w:pPr>
              <w:pStyle w:val="normal"/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программного сопровождения дистанционного обучения.</w:t>
            </w:r>
          </w:p>
          <w:p w:rsidR="00F87AD1" w:rsidRDefault="00F87AD1">
            <w:pPr>
              <w:pStyle w:val="normal"/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перебои доступа к платформе Skype.</w:t>
            </w:r>
          </w:p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владения навыками работы на платформе Skype у отдельных обучающихся.</w:t>
            </w:r>
          </w:p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7AD1" w:rsidRDefault="00F87AD1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План-график мероприятий </w:t>
      </w:r>
    </w:p>
    <w:tbl>
      <w:tblPr>
        <w:tblStyle w:val="af1"/>
        <w:tblW w:w="10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1"/>
        <w:gridCol w:w="1515"/>
        <w:gridCol w:w="1793"/>
        <w:gridCol w:w="1892"/>
        <w:gridCol w:w="1384"/>
        <w:gridCol w:w="1310"/>
      </w:tblGrid>
      <w:tr w:rsidR="00F87AD1">
        <w:trPr>
          <w:cantSplit/>
          <w:tblHeader/>
        </w:trPr>
        <w:tc>
          <w:tcPr>
            <w:tcW w:w="2231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15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93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92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384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310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  <w:vAlign w:val="center"/>
          </w:tcPr>
          <w:p w:rsidR="00F87AD1" w:rsidRDefault="002F6FFE">
            <w:pPr>
              <w:pStyle w:val="normal"/>
              <w:shd w:val="clear" w:color="auto" w:fill="FFFFFF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нормативно-методической документации 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доступа обучающихся к Skype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мониторинга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Skype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учащихся возможностей работы в Skype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Издание приказа о  дистанционном обучении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утверждению программы дистанционного обучения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дистанционного обучения 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РУП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РУП учебных курсов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корректировке РУП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учебных курсов с внесенными изменениями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РУП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периода при необходимости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материалов для реализации учебных программ в форме дистанционного обучения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дистанционного обучения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учебно-методических материалов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РУП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периода при необходимости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 ЦДП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 жизнедеятельности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санитарных норм при организации образовательного процесса с использованием компьютерной техники (работа в Skype)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организации дистанционного обучения 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учебных занятий в соответствии с требованиями СП 2.4.3648-20 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СП 2.4.3648-20 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периода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ЦДП</w:t>
            </w:r>
          </w:p>
        </w:tc>
      </w:tr>
    </w:tbl>
    <w:p w:rsidR="00F87AD1" w:rsidRDefault="00F87AD1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1.Полнота и качество реализации программ учебных курсов.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2.Сохранность контингента обучающихся 95%.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3.Обеспечение принципов индивидуализации и дифференциации учебного процесса.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учебно-методических материалов, используемых для реализации учебных программ.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Созданы условия для совершенствова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информационных и коммуникативных компетенций обучающихся.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Соответствие условий организации образовательного процесса действующим санитарным нормам.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Возможность освоения образовательных платформ Zoom, Discord, образовательного портала СДО Прометей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2et92p0">
        <w:r w:rsidR="002F6FF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Проект</w:t>
        </w:r>
      </w:hyperlink>
      <w:r w:rsidR="002F6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«Моя профессия»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АНО ДО «ЦДП» - это молодые люди, стоящие перед одним из самых главных выборов в своей жизни – выбором профессии. Поэтому одним из направлений деятельности ЦДП является профессиональная ориент</w:t>
      </w:r>
      <w:r>
        <w:rPr>
          <w:rFonts w:ascii="Times New Roman" w:eastAsia="Times New Roman" w:hAnsi="Times New Roman" w:cs="Times New Roman"/>
          <w:sz w:val="24"/>
          <w:szCs w:val="24"/>
        </w:rPr>
        <w:t>ация. В течение учебного периода обучающиеся и их родители (законные представители) получают возможность расширить представления об особенностях учреждений высшего образования, специфике выбранной специальности, рейтинге специальностей, получить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ьную консультацию представителей вузов.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профессионального самоопределения детей с различными образовательными потребностями и индивидуальными возможностями.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AD1" w:rsidRDefault="002F6FFE">
      <w:pPr>
        <w:pStyle w:val="normal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1.Обеспечить  условия для профессионального выбора обучающихся  через сетевое взаимодействие с учреждениями высшего профессионального образования.</w:t>
      </w:r>
    </w:p>
    <w:p w:rsidR="00F87AD1" w:rsidRDefault="002F6FFE">
      <w:pPr>
        <w:pStyle w:val="normal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Расширить представления обучающихся об условиях получения выбранной профессии.</w:t>
      </w:r>
    </w:p>
    <w:p w:rsidR="00F87AD1" w:rsidRDefault="002F6FFE">
      <w:pPr>
        <w:pStyle w:val="normal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3.Обеспечить индивидуальную консультационную помощь обучающимся, их родителям (законным представителям) по вопросам получения высшего профессионального образования.</w:t>
      </w:r>
    </w:p>
    <w:p w:rsidR="00F87AD1" w:rsidRDefault="00F87A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возможностей и рисков достижения цели проекта</w:t>
      </w:r>
    </w:p>
    <w:tbl>
      <w:tblPr>
        <w:tblStyle w:val="af2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6"/>
        <w:gridCol w:w="3545"/>
      </w:tblGrid>
      <w:tr w:rsidR="00F87AD1">
        <w:trPr>
          <w:cantSplit/>
          <w:tblHeader/>
        </w:trPr>
        <w:tc>
          <w:tcPr>
            <w:tcW w:w="6026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3545" w:type="dxa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F87AD1">
        <w:trPr>
          <w:cantSplit/>
          <w:tblHeader/>
        </w:trPr>
        <w:tc>
          <w:tcPr>
            <w:tcW w:w="6026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Организовано сотрудничество и сетевое взаимодействие с высшими учебными заведениями региона.</w:t>
            </w:r>
          </w:p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имеющих возможность пользоваться информационными справочными материалами – 100%</w:t>
            </w:r>
          </w:p>
        </w:tc>
        <w:tc>
          <w:tcPr>
            <w:tcW w:w="3545" w:type="dxa"/>
          </w:tcPr>
          <w:p w:rsidR="00F87AD1" w:rsidRDefault="002F6FFE">
            <w:pPr>
              <w:pStyle w:val="normal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ограничения в реализации направлений сетевого 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из-за эпидемиологической ситуации.</w:t>
            </w:r>
          </w:p>
        </w:tc>
      </w:tr>
    </w:tbl>
    <w:p w:rsidR="00F87AD1" w:rsidRDefault="00F87AD1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F87AD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D1" w:rsidRDefault="002F6FF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План-график мероприятий </w:t>
      </w:r>
    </w:p>
    <w:tbl>
      <w:tblPr>
        <w:tblStyle w:val="af3"/>
        <w:tblW w:w="10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1"/>
        <w:gridCol w:w="1515"/>
        <w:gridCol w:w="1793"/>
        <w:gridCol w:w="1892"/>
        <w:gridCol w:w="1384"/>
        <w:gridCol w:w="1310"/>
      </w:tblGrid>
      <w:tr w:rsidR="00F87AD1">
        <w:trPr>
          <w:cantSplit/>
          <w:tblHeader/>
        </w:trPr>
        <w:tc>
          <w:tcPr>
            <w:tcW w:w="2231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15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93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92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384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310" w:type="dxa"/>
            <w:shd w:val="clear" w:color="auto" w:fill="FBD4B4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  <w:vAlign w:val="center"/>
          </w:tcPr>
          <w:p w:rsidR="00F87AD1" w:rsidRDefault="002F6FFE">
            <w:pPr>
              <w:pStyle w:val="normal"/>
              <w:shd w:val="clear" w:color="auto" w:fill="FFFFFF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нормативно-методической документации 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сетевом взаимодействии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1892" w:type="dxa"/>
          </w:tcPr>
          <w:p w:rsidR="00F87AD1" w:rsidRDefault="00F8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профориентационной работы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профориентационной работы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профориентационной  работы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плановых мероприятий образовательным запросам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10125" w:type="dxa"/>
            <w:gridSpan w:val="6"/>
          </w:tcPr>
          <w:p w:rsidR="00F87AD1" w:rsidRDefault="002F6FFE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профориентационного сопровождения обучающихся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краткосрочных учебных курсов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учебных курсов, заявления обучающихся, их родителей (законных представителей)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посетивших краткосрочные курсы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информационно-консультационных собраний с представителями ведущих вузов региона (при условии эпидемиологических ограничений дистанционные собрания)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собраний</w:t>
            </w: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Информационно-консультационные собрания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представителей), посетивших собрание, количество представителей вузов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  <w:tr w:rsidR="00F87AD1">
        <w:trPr>
          <w:cantSplit/>
          <w:tblHeader/>
        </w:trPr>
        <w:tc>
          <w:tcPr>
            <w:tcW w:w="2231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презентаций вузов </w:t>
            </w:r>
          </w:p>
        </w:tc>
        <w:tc>
          <w:tcPr>
            <w:tcW w:w="1515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мероприятия</w:t>
            </w:r>
          </w:p>
          <w:p w:rsidR="00F87AD1" w:rsidRDefault="00F87AD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87AD1" w:rsidRDefault="002F6FF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встречи с представителями вузов</w:t>
            </w:r>
          </w:p>
        </w:tc>
        <w:tc>
          <w:tcPr>
            <w:tcW w:w="1892" w:type="dxa"/>
          </w:tcPr>
          <w:p w:rsidR="00F87AD1" w:rsidRDefault="002F6FF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количество представленный презентаций вузов</w:t>
            </w:r>
          </w:p>
        </w:tc>
        <w:tc>
          <w:tcPr>
            <w:tcW w:w="1384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(март) 2022</w:t>
            </w:r>
          </w:p>
        </w:tc>
        <w:tc>
          <w:tcPr>
            <w:tcW w:w="1310" w:type="dxa"/>
          </w:tcPr>
          <w:p w:rsidR="00F87AD1" w:rsidRDefault="002F6FFE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ЦДП Тюкавин С.Н.</w:t>
            </w:r>
          </w:p>
        </w:tc>
      </w:tr>
    </w:tbl>
    <w:p w:rsidR="00F87AD1" w:rsidRDefault="00F87AD1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F87AD1" w:rsidRDefault="002F6FFE">
      <w:pPr>
        <w:pStyle w:val="normal"/>
        <w:tabs>
          <w:tab w:val="righ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1.Доля обучающихся, поступивших для получения высшего профессионального образования в выбранные вузы, составляет 95%</w:t>
      </w:r>
    </w:p>
    <w:p w:rsidR="00F87AD1" w:rsidRDefault="002F6FFE">
      <w:pPr>
        <w:pStyle w:val="normal"/>
        <w:tabs>
          <w:tab w:val="righ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Доля обучающихся, поступивших на бюджетные места, составляет 80%.</w:t>
      </w:r>
    </w:p>
    <w:p w:rsidR="00F87AD1" w:rsidRDefault="002F6FFE">
      <w:pPr>
        <w:pStyle w:val="normal"/>
        <w:tabs>
          <w:tab w:val="righ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7AD1" w:rsidRDefault="002F6F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Механизмы управления реализацией программы развития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контроль реализации программных мероприятий осуществляются администрацией АНО ДО «ЦДП».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 развития «Кот ученый» на 2021-2025 годы производится за счет средств оплаты образовательных услуг, грантов.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 контролирует выполнение программных мероприятий, выявляет несоответствие результатов реализации плановым показателям, устанавливает причины недостижения ожидаемых результатов и определяет меры по их устранению. </w:t>
      </w:r>
    </w:p>
    <w:p w:rsidR="00F87AD1" w:rsidRDefault="002F6FF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Стратегическая команда два раза в </w:t>
      </w:r>
      <w:r>
        <w:rPr>
          <w:rFonts w:ascii="Times New Roman" w:eastAsia="Times New Roman" w:hAnsi="Times New Roman" w:cs="Times New Roman"/>
          <w:sz w:val="24"/>
          <w:szCs w:val="24"/>
        </w:rPr>
        <w:t>год подводит промежуточные итоги выполнения программных мероприятий, определяет меры по устранению причин недостижения плановых результатов. Отчет о выполнении мероприятий программы заслушивается ежегодно на общем собрании и в рамках самообследования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организации размещается на официальном сайте АНО ДО «ЦДП».</w:t>
      </w:r>
    </w:p>
    <w:sectPr w:rsidR="00F87AD1" w:rsidSect="00F87AD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FE" w:rsidRDefault="002F6FFE" w:rsidP="00F87AD1">
      <w:pPr>
        <w:spacing w:after="0" w:line="240" w:lineRule="auto"/>
      </w:pPr>
      <w:r>
        <w:separator/>
      </w:r>
    </w:p>
  </w:endnote>
  <w:endnote w:type="continuationSeparator" w:id="1">
    <w:p w:rsidR="002F6FFE" w:rsidRDefault="002F6FFE" w:rsidP="00F8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D1" w:rsidRDefault="00F87A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F6FFE">
      <w:rPr>
        <w:color w:val="000000"/>
      </w:rPr>
      <w:instrText>PAGE</w:instrText>
    </w:r>
    <w:r w:rsidR="002937F9">
      <w:rPr>
        <w:color w:val="000000"/>
      </w:rPr>
      <w:fldChar w:fldCharType="separate"/>
    </w:r>
    <w:r w:rsidR="002937F9">
      <w:rPr>
        <w:noProof/>
        <w:color w:val="000000"/>
      </w:rPr>
      <w:t>1</w:t>
    </w:r>
    <w:r>
      <w:rPr>
        <w:color w:val="000000"/>
      </w:rPr>
      <w:fldChar w:fldCharType="end"/>
    </w:r>
  </w:p>
  <w:p w:rsidR="00F87AD1" w:rsidRDefault="00F87A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FE" w:rsidRDefault="002F6FFE" w:rsidP="00F87AD1">
      <w:pPr>
        <w:spacing w:after="0" w:line="240" w:lineRule="auto"/>
      </w:pPr>
      <w:r>
        <w:separator/>
      </w:r>
    </w:p>
  </w:footnote>
  <w:footnote w:type="continuationSeparator" w:id="1">
    <w:p w:rsidR="002F6FFE" w:rsidRDefault="002F6FFE" w:rsidP="00F8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47"/>
    <w:multiLevelType w:val="multilevel"/>
    <w:tmpl w:val="F3B047E0"/>
    <w:lvl w:ilvl="0">
      <w:start w:val="1"/>
      <w:numFmt w:val="decimal"/>
      <w:lvlText w:val="%1."/>
      <w:lvlJc w:val="left"/>
      <w:pPr>
        <w:ind w:left="580" w:hanging="405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64D6CD2"/>
    <w:multiLevelType w:val="multilevel"/>
    <w:tmpl w:val="1EC600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757F3"/>
    <w:multiLevelType w:val="multilevel"/>
    <w:tmpl w:val="B38EC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69C"/>
    <w:multiLevelType w:val="multilevel"/>
    <w:tmpl w:val="6C2AF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91FF9"/>
    <w:multiLevelType w:val="multilevel"/>
    <w:tmpl w:val="853EFD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F15A8"/>
    <w:multiLevelType w:val="multilevel"/>
    <w:tmpl w:val="EE56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4702CD"/>
    <w:multiLevelType w:val="multilevel"/>
    <w:tmpl w:val="516A9F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AD1"/>
    <w:rsid w:val="002937F9"/>
    <w:rsid w:val="002F6FFE"/>
    <w:rsid w:val="00F8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87AD1"/>
    <w:pPr>
      <w:spacing w:line="240" w:lineRule="auto"/>
      <w:outlineLvl w:val="0"/>
    </w:pPr>
    <w:rPr>
      <w:rFonts w:ascii="Verdana" w:eastAsia="Verdana" w:hAnsi="Verdana" w:cs="Verdana"/>
      <w:b/>
      <w:color w:val="333333"/>
      <w:sz w:val="27"/>
      <w:szCs w:val="27"/>
    </w:rPr>
  </w:style>
  <w:style w:type="paragraph" w:styleId="2">
    <w:name w:val="heading 2"/>
    <w:basedOn w:val="normal"/>
    <w:next w:val="normal"/>
    <w:rsid w:val="00F87AD1"/>
    <w:pPr>
      <w:spacing w:line="240" w:lineRule="auto"/>
      <w:outlineLvl w:val="1"/>
    </w:pPr>
    <w:rPr>
      <w:rFonts w:ascii="Verdana" w:eastAsia="Verdana" w:hAnsi="Verdana" w:cs="Verdana"/>
      <w:b/>
      <w:color w:val="333333"/>
      <w:sz w:val="27"/>
      <w:szCs w:val="27"/>
    </w:rPr>
  </w:style>
  <w:style w:type="paragraph" w:styleId="3">
    <w:name w:val="heading 3"/>
    <w:basedOn w:val="normal"/>
    <w:next w:val="normal"/>
    <w:rsid w:val="00F87AD1"/>
    <w:pPr>
      <w:spacing w:line="240" w:lineRule="auto"/>
      <w:outlineLvl w:val="2"/>
    </w:pPr>
    <w:rPr>
      <w:rFonts w:ascii="Verdana" w:eastAsia="Verdana" w:hAnsi="Verdana" w:cs="Verdana"/>
      <w:b/>
      <w:color w:val="333333"/>
      <w:sz w:val="24"/>
      <w:szCs w:val="24"/>
    </w:rPr>
  </w:style>
  <w:style w:type="paragraph" w:styleId="4">
    <w:name w:val="heading 4"/>
    <w:basedOn w:val="normal"/>
    <w:next w:val="normal"/>
    <w:rsid w:val="00F87A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7A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7A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7AD1"/>
  </w:style>
  <w:style w:type="table" w:customStyle="1" w:styleId="TableNormal">
    <w:name w:val="Table Normal"/>
    <w:rsid w:val="00F87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A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87AD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rsid w:val="00F87A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87AD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F87A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87A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87A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87A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M+qiA8MJ2CyHVnHO5If/hTFIxeODuAui5hjX3xcP9Nw=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HHPdxv+jXkUkPm7kY0OxZ1PpDHDQfwYbaQPoEfVKZ9YxHT6rmOoOwiK0cZHuK8ko
vN3Zj1Ey8rL5HOH5S9qi2Q==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f0eZlwybXJhaeyFiPYcY0keSjV4=</DigestValue>
      </Reference>
      <Reference URI="/word/endnotes.xml?ContentType=application/vnd.openxmlformats-officedocument.wordprocessingml.endnotes+xml">
        <DigestMethod Algorithm="http://www.w3.org/2000/09/xmldsig#sha1"/>
        <DigestValue>e+/PJIekkmlOoj00sq1jkCJwkzI=</DigestValue>
      </Reference>
      <Reference URI="/word/fontTable.xml?ContentType=application/vnd.openxmlformats-officedocument.wordprocessingml.fontTable+xml">
        <DigestMethod Algorithm="http://www.w3.org/2000/09/xmldsig#sha1"/>
        <DigestValue>cICXhpsrSAC2REG9QtRf5s47s+o=</DigestValue>
      </Reference>
      <Reference URI="/word/footer1.xml?ContentType=application/vnd.openxmlformats-officedocument.wordprocessingml.footer+xml">
        <DigestMethod Algorithm="http://www.w3.org/2000/09/xmldsig#sha1"/>
        <DigestValue>am6qJIMDp+I0ldCOnhNlUfd6CO8=</DigestValue>
      </Reference>
      <Reference URI="/word/footnotes.xml?ContentType=application/vnd.openxmlformats-officedocument.wordprocessingml.footnotes+xml">
        <DigestMethod Algorithm="http://www.w3.org/2000/09/xmldsig#sha1"/>
        <DigestValue>HZ4Rr4j6nJa9HeHVvt4c32AjnBk=</DigestValue>
      </Reference>
      <Reference URI="/word/numbering.xml?ContentType=application/vnd.openxmlformats-officedocument.wordprocessingml.numbering+xml">
        <DigestMethod Algorithm="http://www.w3.org/2000/09/xmldsig#sha1"/>
        <DigestValue>WlEN9EYTMGH9t8guUZGwjODZu0A=</DigestValue>
      </Reference>
      <Reference URI="/word/settings.xml?ContentType=application/vnd.openxmlformats-officedocument.wordprocessingml.settings+xml">
        <DigestMethod Algorithm="http://www.w3.org/2000/09/xmldsig#sha1"/>
        <DigestValue>UDEkDOb3/3+rSdE4xaZaT3fm6M8=</DigestValue>
      </Reference>
      <Reference URI="/word/styles.xml?ContentType=application/vnd.openxmlformats-officedocument.wordprocessingml.styles+xml">
        <DigestMethod Algorithm="http://www.w3.org/2000/09/xmldsig#sha1"/>
        <DigestValue>c4udPNCMAAMK1rZSX+b+snwu3IQ=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5373</Words>
  <Characters>30631</Characters>
  <Application>Microsoft Office Word</Application>
  <DocSecurity>0</DocSecurity>
  <Lines>255</Lines>
  <Paragraphs>71</Paragraphs>
  <ScaleCrop>false</ScaleCrop>
  <Company/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2</cp:revision>
  <dcterms:created xsi:type="dcterms:W3CDTF">2021-09-02T04:16:00Z</dcterms:created>
  <dcterms:modified xsi:type="dcterms:W3CDTF">2021-09-02T04:17:00Z</dcterms:modified>
</cp:coreProperties>
</file>